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5C3B" w14:textId="31A1A248" w:rsidR="00BE798C" w:rsidRPr="00BE798C" w:rsidRDefault="000B3A73" w:rsidP="00391FA8">
      <w:pPr>
        <w:spacing w:after="240"/>
        <w:ind w:left="-426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29FEC658" wp14:editId="4B70A88A">
            <wp:extent cx="5760000" cy="193947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E9A9" w14:textId="7CCB15C2" w:rsidR="00B64674" w:rsidRDefault="00BE798C" w:rsidP="00391FA8">
      <w:pPr>
        <w:spacing w:after="240"/>
        <w:ind w:left="-426"/>
        <w:rPr>
          <w:rFonts w:ascii="Gill Sans MT" w:hAnsi="Gill Sans MT"/>
          <w:b/>
          <w:bCs/>
          <w:sz w:val="32"/>
          <w:szCs w:val="34"/>
        </w:rPr>
      </w:pPr>
      <w:r w:rsidRPr="00BE798C">
        <w:rPr>
          <w:rFonts w:ascii="Gill Sans MT" w:hAnsi="Gill Sans MT"/>
          <w:b/>
          <w:bCs/>
          <w:sz w:val="32"/>
          <w:szCs w:val="34"/>
        </w:rPr>
        <w:t>SEND Indicators:</w:t>
      </w:r>
      <w:r w:rsidR="00F367A5">
        <w:rPr>
          <w:rFonts w:ascii="Gill Sans MT" w:hAnsi="Gill Sans MT"/>
          <w:b/>
          <w:bCs/>
          <w:sz w:val="32"/>
          <w:szCs w:val="34"/>
        </w:rPr>
        <w:t xml:space="preserve"> </w:t>
      </w:r>
      <w:r w:rsidR="00F367A5" w:rsidRPr="00F367A5">
        <w:rPr>
          <w:rFonts w:ascii="Gill Sans MT" w:hAnsi="Gill Sans MT"/>
          <w:b/>
          <w:bCs/>
          <w:sz w:val="32"/>
          <w:szCs w:val="34"/>
        </w:rPr>
        <w:t xml:space="preserve">Cognition </w:t>
      </w:r>
      <w:r w:rsidR="00F367A5">
        <w:rPr>
          <w:rFonts w:ascii="Gill Sans MT" w:hAnsi="Gill Sans MT"/>
          <w:b/>
          <w:bCs/>
          <w:sz w:val="32"/>
          <w:szCs w:val="34"/>
        </w:rPr>
        <w:t>and</w:t>
      </w:r>
      <w:r w:rsidR="00F367A5" w:rsidRPr="00F367A5">
        <w:rPr>
          <w:rFonts w:ascii="Gill Sans MT" w:hAnsi="Gill Sans MT"/>
          <w:b/>
          <w:bCs/>
          <w:sz w:val="32"/>
          <w:szCs w:val="34"/>
        </w:rPr>
        <w:t xml:space="preserve"> Learning</w:t>
      </w:r>
    </w:p>
    <w:p w14:paraId="50CB798C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  <w:r w:rsidRPr="00F367A5">
        <w:rPr>
          <w:rFonts w:ascii="Gill Sans MT" w:hAnsi="Gill Sans MT"/>
          <w:sz w:val="24"/>
          <w:szCs w:val="24"/>
        </w:rPr>
        <w:t>CoP (6.23) Slow progress and low attainment do not necessarily mean that a child has SEN and should not automatically lead to a pupil being recorded as having SEN.</w:t>
      </w:r>
    </w:p>
    <w:p w14:paraId="2902E07A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  <w:r w:rsidRPr="00F367A5">
        <w:rPr>
          <w:rFonts w:ascii="Gill Sans MT" w:hAnsi="Gill Sans MT"/>
          <w:sz w:val="24"/>
          <w:szCs w:val="24"/>
        </w:rPr>
        <w:t>Please refer to EYFS Assessment indicators, if appropriate to pupil’s development</w:t>
      </w:r>
    </w:p>
    <w:p w14:paraId="6E6A8262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3"/>
        <w:gridCol w:w="911"/>
        <w:gridCol w:w="911"/>
        <w:gridCol w:w="911"/>
        <w:gridCol w:w="911"/>
      </w:tblGrid>
      <w:tr w:rsidR="00F367A5" w:rsidRPr="00F367A5" w14:paraId="3B91F9F6" w14:textId="77777777" w:rsidTr="00F367A5">
        <w:trPr>
          <w:trHeight w:val="1643"/>
        </w:trPr>
        <w:tc>
          <w:tcPr>
            <w:tcW w:w="5133" w:type="dxa"/>
            <w:shd w:val="clear" w:color="auto" w:fill="FBD4B4" w:themeFill="accent6" w:themeFillTint="66"/>
            <w:vAlign w:val="center"/>
          </w:tcPr>
          <w:p w14:paraId="0718D02F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Enter date (mm/</w:t>
            </w:r>
            <w:proofErr w:type="spellStart"/>
            <w:r w:rsidRPr="00F367A5">
              <w:rPr>
                <w:rFonts w:ascii="Gill Sans MT" w:hAnsi="Gill Sans MT"/>
                <w:sz w:val="24"/>
                <w:szCs w:val="24"/>
              </w:rPr>
              <w:t>yy</w:t>
            </w:r>
            <w:proofErr w:type="spellEnd"/>
            <w:r w:rsidRPr="00F367A5">
              <w:rPr>
                <w:rFonts w:ascii="Gill Sans MT" w:hAnsi="Gill Sans MT"/>
                <w:sz w:val="24"/>
                <w:szCs w:val="24"/>
              </w:rPr>
              <w:t xml:space="preserve">) for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Frequent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to indicate frequency of support</w:t>
            </w:r>
          </w:p>
          <w:p w14:paraId="5DF741D0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Date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when internal or external specialist advice is in place</w:t>
            </w:r>
          </w:p>
          <w:p w14:paraId="71A49EE1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BD4B4" w:themeFill="accent6" w:themeFillTint="66"/>
            <w:textDirection w:val="btLr"/>
            <w:vAlign w:val="center"/>
          </w:tcPr>
          <w:p w14:paraId="5370012B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</w:p>
        </w:tc>
        <w:tc>
          <w:tcPr>
            <w:tcW w:w="791" w:type="dxa"/>
            <w:shd w:val="clear" w:color="auto" w:fill="FBD4B4" w:themeFill="accent6" w:themeFillTint="66"/>
            <w:textDirection w:val="btLr"/>
            <w:vAlign w:val="center"/>
          </w:tcPr>
          <w:p w14:paraId="0AE9A9F6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</w:p>
        </w:tc>
        <w:tc>
          <w:tcPr>
            <w:tcW w:w="791" w:type="dxa"/>
            <w:shd w:val="clear" w:color="auto" w:fill="FBD4B4" w:themeFill="accent6" w:themeFillTint="66"/>
            <w:textDirection w:val="btLr"/>
            <w:vAlign w:val="center"/>
          </w:tcPr>
          <w:p w14:paraId="412A05F4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Frequently</w:t>
            </w:r>
          </w:p>
        </w:tc>
        <w:tc>
          <w:tcPr>
            <w:tcW w:w="791" w:type="dxa"/>
            <w:shd w:val="clear" w:color="auto" w:fill="FBD4B4" w:themeFill="accent6" w:themeFillTint="66"/>
            <w:textDirection w:val="btLr"/>
            <w:vAlign w:val="center"/>
          </w:tcPr>
          <w:p w14:paraId="04333557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</w:p>
        </w:tc>
      </w:tr>
      <w:tr w:rsidR="00F367A5" w:rsidRPr="00F367A5" w14:paraId="40715EDC" w14:textId="77777777" w:rsidTr="00F367A5">
        <w:tc>
          <w:tcPr>
            <w:tcW w:w="8297" w:type="dxa"/>
            <w:gridSpan w:val="5"/>
            <w:shd w:val="clear" w:color="auto" w:fill="FBD4B4" w:themeFill="accent6" w:themeFillTint="66"/>
          </w:tcPr>
          <w:p w14:paraId="6A2F246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Reading</w:t>
            </w:r>
          </w:p>
          <w:p w14:paraId="2D94CC6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F367A5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F367A5" w:rsidRPr="00F367A5" w14:paraId="66B1EEC8" w14:textId="77777777" w:rsidTr="00F367A5">
        <w:tc>
          <w:tcPr>
            <w:tcW w:w="5133" w:type="dxa"/>
            <w:shd w:val="clear" w:color="auto" w:fill="FFFFFF" w:themeFill="background1"/>
          </w:tcPr>
          <w:p w14:paraId="5850EB8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take part in discussion about stories read to them, either with the whole class or individually with an adult</w:t>
            </w:r>
          </w:p>
        </w:tc>
        <w:tc>
          <w:tcPr>
            <w:tcW w:w="791" w:type="dxa"/>
            <w:shd w:val="clear" w:color="auto" w:fill="FFFFFF" w:themeFill="background1"/>
          </w:tcPr>
          <w:p w14:paraId="33693A9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6F99FC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174595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794E8C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0C9864F9" w14:textId="77777777" w:rsidTr="00F367A5">
        <w:tc>
          <w:tcPr>
            <w:tcW w:w="5133" w:type="dxa"/>
            <w:shd w:val="clear" w:color="auto" w:fill="FFFFFF" w:themeFill="background1"/>
          </w:tcPr>
          <w:p w14:paraId="5322511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become familiar with key stories, fairy stories and retelling them to others</w:t>
            </w:r>
          </w:p>
        </w:tc>
        <w:tc>
          <w:tcPr>
            <w:tcW w:w="791" w:type="dxa"/>
            <w:shd w:val="clear" w:color="auto" w:fill="FFFFFF" w:themeFill="background1"/>
          </w:tcPr>
          <w:p w14:paraId="668E92E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6A7CD0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E70E56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C1D56D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50F53F4C" w14:textId="77777777" w:rsidTr="00F367A5">
        <w:tc>
          <w:tcPr>
            <w:tcW w:w="5133" w:type="dxa"/>
            <w:shd w:val="clear" w:color="auto" w:fill="FFFFFF" w:themeFill="background1"/>
          </w:tcPr>
          <w:p w14:paraId="4D665E3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read high-frequency words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he, she, was, my, you</w:t>
            </w:r>
            <w:r w:rsidRPr="00F367A5">
              <w:rPr>
                <w:rFonts w:ascii="Gill Sans MT" w:hAnsi="Gill Sans MT"/>
                <w:sz w:val="24"/>
                <w:szCs w:val="24"/>
              </w:rPr>
              <w:t>) automatically despite many opportunities for revision</w:t>
            </w:r>
          </w:p>
        </w:tc>
        <w:tc>
          <w:tcPr>
            <w:tcW w:w="791" w:type="dxa"/>
            <w:shd w:val="clear" w:color="auto" w:fill="FFFFFF" w:themeFill="background1"/>
          </w:tcPr>
          <w:p w14:paraId="6B39B2A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F86C95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0E6FC6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86CCCB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54D83A9E" w14:textId="77777777" w:rsidTr="00F367A5">
        <w:tc>
          <w:tcPr>
            <w:tcW w:w="5133" w:type="dxa"/>
            <w:shd w:val="clear" w:color="auto" w:fill="FFFFFF" w:themeFill="background1"/>
          </w:tcPr>
          <w:p w14:paraId="6B8A2BC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lastRenderedPageBreak/>
              <w:t>move away from a phonic strategy to a whole word strategy for high frequency and commonly occurring words</w:t>
            </w:r>
          </w:p>
        </w:tc>
        <w:tc>
          <w:tcPr>
            <w:tcW w:w="791" w:type="dxa"/>
            <w:shd w:val="clear" w:color="auto" w:fill="FFFFFF" w:themeFill="background1"/>
          </w:tcPr>
          <w:p w14:paraId="2EBDB9E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F9263B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E08E45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62C843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706A2082" w14:textId="77777777" w:rsidTr="00F367A5">
        <w:tc>
          <w:tcPr>
            <w:tcW w:w="5133" w:type="dxa"/>
            <w:shd w:val="clear" w:color="auto" w:fill="FFFFFF" w:themeFill="background1"/>
          </w:tcPr>
          <w:p w14:paraId="064DB20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read many of the common exception words from the first 100 high frequency words</w:t>
            </w:r>
          </w:p>
        </w:tc>
        <w:tc>
          <w:tcPr>
            <w:tcW w:w="791" w:type="dxa"/>
            <w:shd w:val="clear" w:color="auto" w:fill="FFFFFF" w:themeFill="background1"/>
          </w:tcPr>
          <w:p w14:paraId="6DB4000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D71D09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25B94E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E6C6BA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17A5A7D5" w14:textId="77777777" w:rsidTr="00F367A5">
        <w:tc>
          <w:tcPr>
            <w:tcW w:w="5133" w:type="dxa"/>
            <w:shd w:val="clear" w:color="auto" w:fill="FFFFFF" w:themeFill="background1"/>
          </w:tcPr>
          <w:p w14:paraId="326E195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understand reading materials as a result of continuing effortful decoding, low reading rate or limited language skills, and despite well-founded intervention to encourage comprehension strategies</w:t>
            </w:r>
          </w:p>
        </w:tc>
        <w:tc>
          <w:tcPr>
            <w:tcW w:w="791" w:type="dxa"/>
            <w:shd w:val="clear" w:color="auto" w:fill="FFFFFF" w:themeFill="background1"/>
          </w:tcPr>
          <w:p w14:paraId="44CEA05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5E9972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D5958F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7B6B75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792A885E" w14:textId="77777777" w:rsidTr="00F367A5">
        <w:tc>
          <w:tcPr>
            <w:tcW w:w="5133" w:type="dxa"/>
            <w:shd w:val="clear" w:color="auto" w:fill="FFFFFF" w:themeFill="background1"/>
          </w:tcPr>
          <w:p w14:paraId="4924549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791" w:type="dxa"/>
            <w:shd w:val="clear" w:color="auto" w:fill="FFFFFF" w:themeFill="background1"/>
          </w:tcPr>
          <w:p w14:paraId="11CD35B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8935F3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8B791E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564054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5A355C51" w14:textId="77777777" w:rsidTr="00F367A5">
        <w:tc>
          <w:tcPr>
            <w:tcW w:w="8297" w:type="dxa"/>
            <w:gridSpan w:val="5"/>
            <w:shd w:val="clear" w:color="auto" w:fill="BFBFBF" w:themeFill="background1" w:themeFillShade="BF"/>
          </w:tcPr>
          <w:p w14:paraId="6FBE84B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Phonics</w:t>
            </w:r>
          </w:p>
          <w:p w14:paraId="7AF6695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F367A5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F367A5" w:rsidRPr="00F367A5" w14:paraId="1D117AE8" w14:textId="77777777" w:rsidTr="00F367A5">
        <w:tc>
          <w:tcPr>
            <w:tcW w:w="5133" w:type="dxa"/>
            <w:shd w:val="clear" w:color="auto" w:fill="FFFFFF" w:themeFill="background1"/>
          </w:tcPr>
          <w:p w14:paraId="4C23848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understand early reading concepts such as letter/grapheme, sound/phoneme, syllable</w:t>
            </w:r>
          </w:p>
        </w:tc>
        <w:tc>
          <w:tcPr>
            <w:tcW w:w="791" w:type="dxa"/>
            <w:shd w:val="clear" w:color="auto" w:fill="FFFFFF" w:themeFill="background1"/>
          </w:tcPr>
          <w:p w14:paraId="09A0784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C33F77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0A973B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FC9D58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3F2775BD" w14:textId="77777777" w:rsidTr="00F367A5">
        <w:tc>
          <w:tcPr>
            <w:tcW w:w="5133" w:type="dxa"/>
            <w:shd w:val="clear" w:color="auto" w:fill="FFFFFF" w:themeFill="background1"/>
          </w:tcPr>
          <w:p w14:paraId="42A4C81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use phonological skills such as blending/segmenting to read/record consonant-vowel-consonant words despite high quality teaching and support</w:t>
            </w:r>
          </w:p>
        </w:tc>
        <w:tc>
          <w:tcPr>
            <w:tcW w:w="791" w:type="dxa"/>
            <w:shd w:val="clear" w:color="auto" w:fill="FFFFFF" w:themeFill="background1"/>
          </w:tcPr>
          <w:p w14:paraId="469DABF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9DC169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B5BD7E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D7791F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249A6570" w14:textId="77777777" w:rsidTr="00F367A5">
        <w:tc>
          <w:tcPr>
            <w:tcW w:w="5133" w:type="dxa"/>
            <w:shd w:val="clear" w:color="auto" w:fill="FFFFFF" w:themeFill="background1"/>
          </w:tcPr>
          <w:p w14:paraId="67DCB8A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recognise rhyme, use alliteration and identify syllables </w:t>
            </w:r>
          </w:p>
        </w:tc>
        <w:tc>
          <w:tcPr>
            <w:tcW w:w="791" w:type="dxa"/>
            <w:shd w:val="clear" w:color="auto" w:fill="FFFFFF" w:themeFill="background1"/>
          </w:tcPr>
          <w:p w14:paraId="19A525E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FABE81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0F34D5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0E9CE4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4B3B82F5" w14:textId="77777777" w:rsidTr="00F367A5">
        <w:tc>
          <w:tcPr>
            <w:tcW w:w="5133" w:type="dxa"/>
            <w:shd w:val="clear" w:color="auto" w:fill="FFFFFF" w:themeFill="background1"/>
          </w:tcPr>
          <w:p w14:paraId="52323AA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give pure sounds for (the majority of) single letters automatically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i.e.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respond speedily) despite many opportunities for practice and revision</w:t>
            </w:r>
          </w:p>
        </w:tc>
        <w:tc>
          <w:tcPr>
            <w:tcW w:w="791" w:type="dxa"/>
            <w:shd w:val="clear" w:color="auto" w:fill="FFFFFF" w:themeFill="background1"/>
          </w:tcPr>
          <w:p w14:paraId="6C00EA2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A23B54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6EE603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1ED64A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60B26A79" w14:textId="77777777" w:rsidTr="00F367A5">
        <w:tc>
          <w:tcPr>
            <w:tcW w:w="5133" w:type="dxa"/>
            <w:shd w:val="clear" w:color="auto" w:fill="FFFFFF" w:themeFill="background1"/>
          </w:tcPr>
          <w:p w14:paraId="451BC97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read pseudo-words from and following the Y1 statutory phonics screening check and decode common regular words</w:t>
            </w:r>
          </w:p>
        </w:tc>
        <w:tc>
          <w:tcPr>
            <w:tcW w:w="791" w:type="dxa"/>
            <w:shd w:val="clear" w:color="auto" w:fill="FFFFFF" w:themeFill="background1"/>
          </w:tcPr>
          <w:p w14:paraId="560DD47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B9CD66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ADB4E2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A52AC8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3AF8F02" w14:textId="77777777" w:rsidTr="00F367A5">
        <w:tc>
          <w:tcPr>
            <w:tcW w:w="5133" w:type="dxa"/>
            <w:shd w:val="clear" w:color="auto" w:fill="FFFFFF" w:themeFill="background1"/>
          </w:tcPr>
          <w:p w14:paraId="37AB883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automatically recognise single letters and most common digraphs</w:t>
            </w:r>
          </w:p>
        </w:tc>
        <w:tc>
          <w:tcPr>
            <w:tcW w:w="791" w:type="dxa"/>
            <w:shd w:val="clear" w:color="auto" w:fill="FFFFFF" w:themeFill="background1"/>
          </w:tcPr>
          <w:p w14:paraId="4A955AC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EC96CD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0619CC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BC8068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F13E784" w14:textId="77777777" w:rsidTr="00F367A5">
        <w:tc>
          <w:tcPr>
            <w:tcW w:w="5133" w:type="dxa"/>
            <w:shd w:val="clear" w:color="auto" w:fill="FFFFFF" w:themeFill="background1"/>
          </w:tcPr>
          <w:p w14:paraId="310E267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lastRenderedPageBreak/>
              <w:t>read quickly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those words the pupil encounters repeatedly</w:t>
            </w:r>
          </w:p>
        </w:tc>
        <w:tc>
          <w:tcPr>
            <w:tcW w:w="791" w:type="dxa"/>
            <w:shd w:val="clear" w:color="auto" w:fill="FFFFFF" w:themeFill="background1"/>
          </w:tcPr>
          <w:p w14:paraId="06E60B2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247B1C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37C503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31D88B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6763413A" w14:textId="77777777" w:rsidTr="00F367A5">
        <w:tc>
          <w:tcPr>
            <w:tcW w:w="5133" w:type="dxa"/>
            <w:shd w:val="clear" w:color="auto" w:fill="FFFFFF" w:themeFill="background1"/>
          </w:tcPr>
          <w:p w14:paraId="39A5B4E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  <w:p w14:paraId="2518F46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964028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CC103D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3BCA43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6F5E29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203D08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132FCEA3" w14:textId="77777777" w:rsidTr="00F367A5">
        <w:tc>
          <w:tcPr>
            <w:tcW w:w="8297" w:type="dxa"/>
            <w:gridSpan w:val="5"/>
            <w:shd w:val="clear" w:color="auto" w:fill="BFBFBF" w:themeFill="background1" w:themeFillShade="BF"/>
          </w:tcPr>
          <w:p w14:paraId="65CA2FC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Recording</w:t>
            </w:r>
          </w:p>
          <w:p w14:paraId="1897D0B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F367A5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F367A5" w:rsidRPr="00F367A5" w14:paraId="1CC4F5FF" w14:textId="77777777" w:rsidTr="00F367A5">
        <w:tc>
          <w:tcPr>
            <w:tcW w:w="5133" w:type="dxa"/>
            <w:shd w:val="clear" w:color="auto" w:fill="FFFFFF" w:themeFill="background1"/>
          </w:tcPr>
          <w:p w14:paraId="2C16ECE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recall the formation of letter shapes despite many opportunities for practice and revision</w:t>
            </w:r>
          </w:p>
        </w:tc>
        <w:tc>
          <w:tcPr>
            <w:tcW w:w="791" w:type="dxa"/>
            <w:shd w:val="clear" w:color="auto" w:fill="FFFFFF" w:themeFill="background1"/>
          </w:tcPr>
          <w:p w14:paraId="068A26E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D03BB2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3304A7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EA6B6F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670DE4A" w14:textId="77777777" w:rsidTr="00F367A5">
        <w:tc>
          <w:tcPr>
            <w:tcW w:w="5133" w:type="dxa"/>
            <w:shd w:val="clear" w:color="auto" w:fill="FFFFFF" w:themeFill="background1"/>
          </w:tcPr>
          <w:p w14:paraId="4B1E053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spell early high frequency words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he, she, was, my, you</w:t>
            </w:r>
            <w:r w:rsidRPr="00F367A5">
              <w:rPr>
                <w:rFonts w:ascii="Gill Sans MT" w:hAnsi="Gill Sans MT"/>
                <w:sz w:val="24"/>
                <w:szCs w:val="24"/>
              </w:rPr>
              <w:t>) despite many opportunities for practice and revision</w:t>
            </w:r>
          </w:p>
        </w:tc>
        <w:tc>
          <w:tcPr>
            <w:tcW w:w="791" w:type="dxa"/>
            <w:shd w:val="clear" w:color="auto" w:fill="FFFFFF" w:themeFill="background1"/>
          </w:tcPr>
          <w:p w14:paraId="59B9DC3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A41819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E1581B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A1EB0C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008B8753" w14:textId="77777777" w:rsidTr="00F367A5">
        <w:tc>
          <w:tcPr>
            <w:tcW w:w="5133" w:type="dxa"/>
            <w:shd w:val="clear" w:color="auto" w:fill="FFFFFF" w:themeFill="background1"/>
          </w:tcPr>
          <w:p w14:paraId="630CC3D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compose a simple sentence orally before attempting to write it down</w:t>
            </w:r>
          </w:p>
        </w:tc>
        <w:tc>
          <w:tcPr>
            <w:tcW w:w="791" w:type="dxa"/>
            <w:shd w:val="clear" w:color="auto" w:fill="FFFFFF" w:themeFill="background1"/>
          </w:tcPr>
          <w:p w14:paraId="7BC17B1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89C5B2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162B92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3668F1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5712C4A" w14:textId="77777777" w:rsidTr="00F367A5">
        <w:tc>
          <w:tcPr>
            <w:tcW w:w="5133" w:type="dxa"/>
            <w:shd w:val="clear" w:color="auto" w:fill="FFFFFF" w:themeFill="background1"/>
          </w:tcPr>
          <w:p w14:paraId="03D3303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make phonically plausible attempts at consonant-vowel-consonant words despite high quality teaching and support</w:t>
            </w:r>
          </w:p>
        </w:tc>
        <w:tc>
          <w:tcPr>
            <w:tcW w:w="791" w:type="dxa"/>
            <w:shd w:val="clear" w:color="auto" w:fill="FFFFFF" w:themeFill="background1"/>
          </w:tcPr>
          <w:p w14:paraId="57ED057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AF6C17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7698F2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7A6CF7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1455C54B" w14:textId="77777777" w:rsidTr="00F367A5">
        <w:tc>
          <w:tcPr>
            <w:tcW w:w="5133" w:type="dxa"/>
            <w:shd w:val="clear" w:color="auto" w:fill="FFFFFF" w:themeFill="background1"/>
          </w:tcPr>
          <w:p w14:paraId="11BD17F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write simple sentences with simple punctuation</w:t>
            </w:r>
          </w:p>
        </w:tc>
        <w:tc>
          <w:tcPr>
            <w:tcW w:w="791" w:type="dxa"/>
            <w:shd w:val="clear" w:color="auto" w:fill="FFFFFF" w:themeFill="background1"/>
          </w:tcPr>
          <w:p w14:paraId="1E4CDC4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5AAAA0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F4A283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AF56CA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6495BD27" w14:textId="77777777" w:rsidTr="00F367A5">
        <w:tc>
          <w:tcPr>
            <w:tcW w:w="5133" w:type="dxa"/>
            <w:shd w:val="clear" w:color="auto" w:fill="FFFFFF" w:themeFill="background1"/>
          </w:tcPr>
          <w:p w14:paraId="397E8F6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791" w:type="dxa"/>
            <w:shd w:val="clear" w:color="auto" w:fill="FFFFFF" w:themeFill="background1"/>
          </w:tcPr>
          <w:p w14:paraId="4751703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A4AAE1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E06A15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F679A4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F865F93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p w14:paraId="410D8583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p w14:paraId="3EC7B6C6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p w14:paraId="0EBBAF03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911"/>
        <w:gridCol w:w="911"/>
        <w:gridCol w:w="911"/>
        <w:gridCol w:w="911"/>
      </w:tblGrid>
      <w:tr w:rsidR="00F367A5" w:rsidRPr="00F367A5" w14:paraId="1526A0FF" w14:textId="77777777" w:rsidTr="00F367A5">
        <w:trPr>
          <w:trHeight w:val="1550"/>
        </w:trPr>
        <w:tc>
          <w:tcPr>
            <w:tcW w:w="6052" w:type="dxa"/>
            <w:shd w:val="clear" w:color="auto" w:fill="FBD4B4" w:themeFill="accent6" w:themeFillTint="66"/>
            <w:vAlign w:val="center"/>
          </w:tcPr>
          <w:p w14:paraId="5135BAD7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lastRenderedPageBreak/>
              <w:t>Enter date (mm/</w:t>
            </w:r>
            <w:proofErr w:type="spellStart"/>
            <w:r w:rsidRPr="00F367A5">
              <w:rPr>
                <w:rFonts w:ascii="Gill Sans MT" w:hAnsi="Gill Sans MT"/>
                <w:sz w:val="24"/>
                <w:szCs w:val="24"/>
              </w:rPr>
              <w:t>yy</w:t>
            </w:r>
            <w:proofErr w:type="spellEnd"/>
            <w:r w:rsidRPr="00F367A5">
              <w:rPr>
                <w:rFonts w:ascii="Gill Sans MT" w:hAnsi="Gill Sans MT"/>
                <w:sz w:val="24"/>
                <w:szCs w:val="24"/>
              </w:rPr>
              <w:t xml:space="preserve">) for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Frequent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to indicate frequency of support</w:t>
            </w:r>
          </w:p>
          <w:p w14:paraId="154D9F27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Date </w:t>
            </w:r>
            <w:r w:rsidRPr="00F367A5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  <w:r w:rsidRPr="00F367A5">
              <w:rPr>
                <w:rFonts w:ascii="Gill Sans MT" w:hAnsi="Gill Sans MT"/>
                <w:sz w:val="24"/>
                <w:szCs w:val="24"/>
              </w:rPr>
              <w:t xml:space="preserve"> when internal or external specialist advice is in place</w:t>
            </w:r>
          </w:p>
          <w:p w14:paraId="5DDF54DC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BD4B4" w:themeFill="accent6" w:themeFillTint="66"/>
            <w:textDirection w:val="btLr"/>
            <w:vAlign w:val="center"/>
          </w:tcPr>
          <w:p w14:paraId="5BC776E1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</w:p>
        </w:tc>
        <w:tc>
          <w:tcPr>
            <w:tcW w:w="741" w:type="dxa"/>
            <w:shd w:val="clear" w:color="auto" w:fill="FBD4B4" w:themeFill="accent6" w:themeFillTint="66"/>
            <w:textDirection w:val="btLr"/>
            <w:vAlign w:val="center"/>
          </w:tcPr>
          <w:p w14:paraId="0E28725A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</w:p>
        </w:tc>
        <w:tc>
          <w:tcPr>
            <w:tcW w:w="741" w:type="dxa"/>
            <w:shd w:val="clear" w:color="auto" w:fill="FBD4B4" w:themeFill="accent6" w:themeFillTint="66"/>
            <w:textDirection w:val="btLr"/>
            <w:vAlign w:val="center"/>
          </w:tcPr>
          <w:p w14:paraId="40B7ADA7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Frequently</w:t>
            </w:r>
          </w:p>
        </w:tc>
        <w:tc>
          <w:tcPr>
            <w:tcW w:w="741" w:type="dxa"/>
            <w:shd w:val="clear" w:color="auto" w:fill="FBD4B4" w:themeFill="accent6" w:themeFillTint="66"/>
            <w:textDirection w:val="btLr"/>
            <w:vAlign w:val="center"/>
          </w:tcPr>
          <w:p w14:paraId="618DBA08" w14:textId="77777777" w:rsidR="00F367A5" w:rsidRPr="00F367A5" w:rsidRDefault="00F367A5" w:rsidP="00F367A5">
            <w:pPr>
              <w:spacing w:before="120"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</w:p>
        </w:tc>
      </w:tr>
      <w:tr w:rsidR="00F367A5" w:rsidRPr="00F367A5" w14:paraId="1A51F36B" w14:textId="77777777" w:rsidTr="00F367A5">
        <w:tc>
          <w:tcPr>
            <w:tcW w:w="9016" w:type="dxa"/>
            <w:gridSpan w:val="5"/>
            <w:shd w:val="clear" w:color="auto" w:fill="FBD4B4" w:themeFill="accent6" w:themeFillTint="66"/>
          </w:tcPr>
          <w:p w14:paraId="05FB132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Maths</w:t>
            </w:r>
          </w:p>
          <w:p w14:paraId="0C1B9C9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F367A5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F367A5" w:rsidRPr="00F367A5" w14:paraId="0C723634" w14:textId="77777777" w:rsidTr="00A073D3">
        <w:tc>
          <w:tcPr>
            <w:tcW w:w="6052" w:type="dxa"/>
            <w:shd w:val="clear" w:color="auto" w:fill="FFFFFF" w:themeFill="background1"/>
          </w:tcPr>
          <w:p w14:paraId="54F3FEB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recognise and name numerals</w:t>
            </w:r>
          </w:p>
        </w:tc>
        <w:tc>
          <w:tcPr>
            <w:tcW w:w="741" w:type="dxa"/>
            <w:shd w:val="clear" w:color="auto" w:fill="FFFFFF" w:themeFill="background1"/>
          </w:tcPr>
          <w:p w14:paraId="2F7F070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73D3D8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36E67C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D8FB07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6F02288A" w14:textId="77777777" w:rsidTr="00A073D3">
        <w:tc>
          <w:tcPr>
            <w:tcW w:w="6052" w:type="dxa"/>
            <w:shd w:val="clear" w:color="auto" w:fill="FFFFFF" w:themeFill="background1"/>
          </w:tcPr>
          <w:p w14:paraId="1496225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understand one-to-one correspondence</w:t>
            </w:r>
          </w:p>
        </w:tc>
        <w:tc>
          <w:tcPr>
            <w:tcW w:w="741" w:type="dxa"/>
            <w:shd w:val="clear" w:color="auto" w:fill="FFFFFF" w:themeFill="background1"/>
          </w:tcPr>
          <w:p w14:paraId="5EB1097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8C54FE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549849A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14E96F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0588CD81" w14:textId="77777777" w:rsidTr="00A073D3">
        <w:tc>
          <w:tcPr>
            <w:tcW w:w="6052" w:type="dxa"/>
            <w:shd w:val="clear" w:color="auto" w:fill="FFFFFF" w:themeFill="background1"/>
          </w:tcPr>
          <w:p w14:paraId="40DA39E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demonstrate an understanding of the concepts of ‘more’ and ‘less’</w:t>
            </w:r>
          </w:p>
        </w:tc>
        <w:tc>
          <w:tcPr>
            <w:tcW w:w="741" w:type="dxa"/>
            <w:shd w:val="clear" w:color="auto" w:fill="FFFFFF" w:themeFill="background1"/>
          </w:tcPr>
          <w:p w14:paraId="0EED4CC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0A76F0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25AEEE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58BF6D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0F394461" w14:textId="77777777" w:rsidTr="00A073D3">
        <w:tc>
          <w:tcPr>
            <w:tcW w:w="6052" w:type="dxa"/>
            <w:shd w:val="clear" w:color="auto" w:fill="FFFFFF" w:themeFill="background1"/>
          </w:tcPr>
          <w:p w14:paraId="6C4080F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recognise a small number of objects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4 items) and estimate a large number</w:t>
            </w:r>
          </w:p>
        </w:tc>
        <w:tc>
          <w:tcPr>
            <w:tcW w:w="741" w:type="dxa"/>
            <w:shd w:val="clear" w:color="auto" w:fill="FFFFFF" w:themeFill="background1"/>
          </w:tcPr>
          <w:p w14:paraId="01A058E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F8043C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6B6092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08A284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5169F9DA" w14:textId="77777777" w:rsidTr="00A073D3">
        <w:tc>
          <w:tcPr>
            <w:tcW w:w="6052" w:type="dxa"/>
            <w:shd w:val="clear" w:color="auto" w:fill="FFFFFF" w:themeFill="background1"/>
          </w:tcPr>
          <w:p w14:paraId="2301036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understand the concept of place value and exchange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that 10 ones can be represented as 1 ten)</w:t>
            </w:r>
          </w:p>
        </w:tc>
        <w:tc>
          <w:tcPr>
            <w:tcW w:w="741" w:type="dxa"/>
            <w:shd w:val="clear" w:color="auto" w:fill="FFFFFF" w:themeFill="background1"/>
          </w:tcPr>
          <w:p w14:paraId="78EB2DF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14EA65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14FE9C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1C9AFC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250E537A" w14:textId="77777777" w:rsidTr="00A073D3">
        <w:tc>
          <w:tcPr>
            <w:tcW w:w="6052" w:type="dxa"/>
            <w:shd w:val="clear" w:color="auto" w:fill="FFFFFF" w:themeFill="background1"/>
          </w:tcPr>
          <w:p w14:paraId="69A30AB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identify one more and one less than a given number; count forwards and backwards in ones and twos</w:t>
            </w:r>
          </w:p>
        </w:tc>
        <w:tc>
          <w:tcPr>
            <w:tcW w:w="741" w:type="dxa"/>
            <w:shd w:val="clear" w:color="auto" w:fill="FFFFFF" w:themeFill="background1"/>
          </w:tcPr>
          <w:p w14:paraId="2EE0001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6270C08E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A9802F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54B7AA5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023AA768" w14:textId="77777777" w:rsidTr="00A073D3">
        <w:tc>
          <w:tcPr>
            <w:tcW w:w="6052" w:type="dxa"/>
            <w:shd w:val="clear" w:color="auto" w:fill="FFFFFF" w:themeFill="background1"/>
          </w:tcPr>
          <w:p w14:paraId="31A5259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recall number  bonds to 20 despite well-founded intervention and repeated opportunities to relate knowledge to hands-on materials</w:t>
            </w:r>
          </w:p>
        </w:tc>
        <w:tc>
          <w:tcPr>
            <w:tcW w:w="741" w:type="dxa"/>
            <w:shd w:val="clear" w:color="auto" w:fill="FFFFFF" w:themeFill="background1"/>
          </w:tcPr>
          <w:p w14:paraId="279F18F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D8EC90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9C1E11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6DE4EBE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3E89B0BB" w14:textId="77777777" w:rsidTr="00A073D3">
        <w:tc>
          <w:tcPr>
            <w:tcW w:w="6052" w:type="dxa"/>
            <w:shd w:val="clear" w:color="auto" w:fill="FFFFFF" w:themeFill="background1"/>
          </w:tcPr>
          <w:p w14:paraId="1F34F3F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know and use  simple mathematical symbols (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+ - =) despite repeated exposure</w:t>
            </w:r>
          </w:p>
        </w:tc>
        <w:tc>
          <w:tcPr>
            <w:tcW w:w="741" w:type="dxa"/>
            <w:shd w:val="clear" w:color="auto" w:fill="FFFFFF" w:themeFill="background1"/>
          </w:tcPr>
          <w:p w14:paraId="4D7FDA2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CE17E2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1B0C86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6603E58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5002D792" w14:textId="77777777" w:rsidTr="00A073D3">
        <w:tc>
          <w:tcPr>
            <w:tcW w:w="6052" w:type="dxa"/>
            <w:shd w:val="clear" w:color="auto" w:fill="FFFFFF" w:themeFill="background1"/>
          </w:tcPr>
          <w:p w14:paraId="434DC85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lastRenderedPageBreak/>
              <w:t>sort and classify objects, shapes and numbers according to simple attributes and when using ‘hands-on’ resources</w:t>
            </w:r>
          </w:p>
        </w:tc>
        <w:tc>
          <w:tcPr>
            <w:tcW w:w="741" w:type="dxa"/>
            <w:shd w:val="clear" w:color="auto" w:fill="FFFFFF" w:themeFill="background1"/>
          </w:tcPr>
          <w:p w14:paraId="1A0C1D6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5DD0EA2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2B3F665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D004FD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1525FA90" w14:textId="77777777" w:rsidTr="00A073D3">
        <w:tc>
          <w:tcPr>
            <w:tcW w:w="6052" w:type="dxa"/>
            <w:shd w:val="clear" w:color="auto" w:fill="FFFFFF" w:themeFill="background1"/>
          </w:tcPr>
          <w:p w14:paraId="1814E34B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have persistent difficulty with simple sequences of 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numbers, patterns, days of the week etc.</w:t>
            </w:r>
          </w:p>
        </w:tc>
        <w:tc>
          <w:tcPr>
            <w:tcW w:w="741" w:type="dxa"/>
            <w:shd w:val="clear" w:color="auto" w:fill="FFFFFF" w:themeFill="background1"/>
          </w:tcPr>
          <w:p w14:paraId="7460734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332A1F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87C454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27B097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07AA4BDE" w14:textId="77777777" w:rsidTr="00A073D3">
        <w:tc>
          <w:tcPr>
            <w:tcW w:w="6052" w:type="dxa"/>
            <w:shd w:val="clear" w:color="auto" w:fill="FFFFFF" w:themeFill="background1"/>
          </w:tcPr>
          <w:p w14:paraId="6D0A16D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name common 2-d shapes despite repeated exposure and learning</w:t>
            </w:r>
          </w:p>
        </w:tc>
        <w:tc>
          <w:tcPr>
            <w:tcW w:w="741" w:type="dxa"/>
            <w:shd w:val="clear" w:color="auto" w:fill="FFFFFF" w:themeFill="background1"/>
          </w:tcPr>
          <w:p w14:paraId="371C111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AC8CCD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466348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FF93D1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4C3F0CF2" w14:textId="77777777" w:rsidTr="00A073D3">
        <w:tc>
          <w:tcPr>
            <w:tcW w:w="6052" w:type="dxa"/>
            <w:shd w:val="clear" w:color="auto" w:fill="FFFFFF" w:themeFill="background1"/>
          </w:tcPr>
          <w:p w14:paraId="2B2D3E5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741" w:type="dxa"/>
            <w:shd w:val="clear" w:color="auto" w:fill="FFFFFF" w:themeFill="background1"/>
          </w:tcPr>
          <w:p w14:paraId="01BC8BE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94F2A8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D1E62B2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1BD0A4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367A5" w:rsidRPr="00F367A5" w14:paraId="5F485AB8" w14:textId="77777777" w:rsidTr="00A073D3">
        <w:tc>
          <w:tcPr>
            <w:tcW w:w="9016" w:type="dxa"/>
            <w:gridSpan w:val="5"/>
            <w:shd w:val="clear" w:color="auto" w:fill="BFBFBF" w:themeFill="background1" w:themeFillShade="BF"/>
          </w:tcPr>
          <w:p w14:paraId="29E075A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Attitude/approach to learning</w:t>
            </w:r>
          </w:p>
          <w:p w14:paraId="230DB0E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F367A5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F367A5" w:rsidRPr="00F367A5" w14:paraId="292E7F85" w14:textId="77777777" w:rsidTr="00A073D3">
        <w:tc>
          <w:tcPr>
            <w:tcW w:w="6052" w:type="dxa"/>
            <w:shd w:val="clear" w:color="auto" w:fill="FFFFFF" w:themeFill="background1"/>
          </w:tcPr>
          <w:p w14:paraId="75CD25A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demonstrate age-appropriate independent learning skills </w:t>
            </w:r>
            <w:proofErr w:type="gramStart"/>
            <w:r w:rsidRPr="00F367A5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F367A5">
              <w:rPr>
                <w:rFonts w:ascii="Gill Sans MT" w:hAnsi="Gill Sans MT"/>
                <w:sz w:val="24"/>
                <w:szCs w:val="24"/>
              </w:rPr>
              <w:t xml:space="preserve"> using simple strategies that have been explicitly taught</w:t>
            </w:r>
          </w:p>
        </w:tc>
        <w:tc>
          <w:tcPr>
            <w:tcW w:w="741" w:type="dxa"/>
            <w:shd w:val="clear" w:color="auto" w:fill="FFFFFF" w:themeFill="background1"/>
          </w:tcPr>
          <w:p w14:paraId="5A2A453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2AE4F2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4208FC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0376BC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641C8707" w14:textId="77777777" w:rsidTr="00A073D3">
        <w:tc>
          <w:tcPr>
            <w:tcW w:w="6052" w:type="dxa"/>
            <w:shd w:val="clear" w:color="auto" w:fill="FFFFFF" w:themeFill="background1"/>
          </w:tcPr>
          <w:p w14:paraId="77DEDD1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maintain attention and interest on an adult directed task for approximately 10 minutes</w:t>
            </w:r>
          </w:p>
        </w:tc>
        <w:tc>
          <w:tcPr>
            <w:tcW w:w="741" w:type="dxa"/>
            <w:shd w:val="clear" w:color="auto" w:fill="FFFFFF" w:themeFill="background1"/>
          </w:tcPr>
          <w:p w14:paraId="3BD3C78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699F3F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B31ED0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655E0CC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645296F" w14:textId="77777777" w:rsidTr="00A073D3">
        <w:tc>
          <w:tcPr>
            <w:tcW w:w="6052" w:type="dxa"/>
            <w:shd w:val="clear" w:color="auto" w:fill="FFFFFF" w:themeFill="background1"/>
          </w:tcPr>
          <w:p w14:paraId="357510D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>engage and persevere with challenging tasks for a short time</w:t>
            </w:r>
          </w:p>
        </w:tc>
        <w:tc>
          <w:tcPr>
            <w:tcW w:w="741" w:type="dxa"/>
            <w:shd w:val="clear" w:color="auto" w:fill="FFFFFF" w:themeFill="background1"/>
          </w:tcPr>
          <w:p w14:paraId="671457F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27F26E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30417AD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F0D24AF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5C7FFD01" w14:textId="77777777" w:rsidTr="00A073D3">
        <w:tc>
          <w:tcPr>
            <w:tcW w:w="6052" w:type="dxa"/>
            <w:shd w:val="clear" w:color="auto" w:fill="FFFFFF" w:themeFill="background1"/>
          </w:tcPr>
          <w:p w14:paraId="56537BB0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believe in their ability to overcome challenge </w:t>
            </w:r>
          </w:p>
        </w:tc>
        <w:tc>
          <w:tcPr>
            <w:tcW w:w="741" w:type="dxa"/>
            <w:shd w:val="clear" w:color="auto" w:fill="FFFFFF" w:themeFill="background1"/>
          </w:tcPr>
          <w:p w14:paraId="5BBCEC3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9BF260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522431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7E74A8E3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2C51DA7A" w14:textId="77777777" w:rsidTr="00A073D3">
        <w:tc>
          <w:tcPr>
            <w:tcW w:w="6052" w:type="dxa"/>
            <w:shd w:val="clear" w:color="auto" w:fill="FFFFFF" w:themeFill="background1"/>
          </w:tcPr>
          <w:p w14:paraId="351A08F9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sz w:val="24"/>
                <w:szCs w:val="24"/>
              </w:rPr>
              <w:t xml:space="preserve">can consider available options/strategies and justify choice </w:t>
            </w:r>
          </w:p>
        </w:tc>
        <w:tc>
          <w:tcPr>
            <w:tcW w:w="741" w:type="dxa"/>
            <w:shd w:val="clear" w:color="auto" w:fill="FFFFFF" w:themeFill="background1"/>
          </w:tcPr>
          <w:p w14:paraId="42D70AB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EC36C58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A203F97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234529C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367A5" w:rsidRPr="00F367A5" w14:paraId="7687CC52" w14:textId="77777777" w:rsidTr="00A073D3">
        <w:tc>
          <w:tcPr>
            <w:tcW w:w="6052" w:type="dxa"/>
            <w:shd w:val="clear" w:color="auto" w:fill="FFFFFF" w:themeFill="background1"/>
          </w:tcPr>
          <w:p w14:paraId="5B374FD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F367A5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741" w:type="dxa"/>
            <w:shd w:val="clear" w:color="auto" w:fill="FFFFFF" w:themeFill="background1"/>
          </w:tcPr>
          <w:p w14:paraId="73FDD911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6C7D60B4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20F3B93A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4115A5D6" w14:textId="77777777" w:rsidR="00F367A5" w:rsidRPr="00F367A5" w:rsidRDefault="00F367A5" w:rsidP="00F367A5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2B64DDD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sz w:val="24"/>
          <w:szCs w:val="24"/>
        </w:rPr>
      </w:pPr>
    </w:p>
    <w:p w14:paraId="36D5FCAA" w14:textId="77777777" w:rsidR="00F367A5" w:rsidRPr="00F367A5" w:rsidRDefault="00F367A5" w:rsidP="00F367A5">
      <w:pPr>
        <w:spacing w:after="240"/>
        <w:ind w:left="-426"/>
        <w:rPr>
          <w:rFonts w:ascii="Gill Sans MT" w:hAnsi="Gill Sans MT"/>
          <w:b/>
          <w:sz w:val="24"/>
          <w:szCs w:val="24"/>
        </w:rPr>
      </w:pPr>
      <w:r w:rsidRPr="00F367A5">
        <w:rPr>
          <w:rFonts w:ascii="Gill Sans MT" w:hAnsi="Gill Sans MT"/>
          <w:b/>
          <w:sz w:val="24"/>
          <w:szCs w:val="24"/>
        </w:rPr>
        <w:t>Assess Impact</w:t>
      </w:r>
    </w:p>
    <w:p w14:paraId="5C132161" w14:textId="77777777" w:rsidR="00B64674" w:rsidRPr="00B90073" w:rsidRDefault="00B64674" w:rsidP="00391FA8">
      <w:pPr>
        <w:spacing w:after="240"/>
        <w:ind w:left="-426"/>
        <w:rPr>
          <w:rFonts w:ascii="Gill Sans MT" w:hAnsi="Gill Sans MT"/>
          <w:sz w:val="24"/>
          <w:szCs w:val="24"/>
        </w:rPr>
      </w:pPr>
      <w:r w:rsidRPr="00B90073">
        <w:rPr>
          <w:rFonts w:ascii="Gill Sans MT" w:hAnsi="Gill Sans MT"/>
          <w:sz w:val="24"/>
          <w:szCs w:val="24"/>
        </w:rPr>
        <w:t xml:space="preserve">Consider the following question and record priority areas of need in the summary table  </w:t>
      </w:r>
      <w:hyperlink w:anchor="summary" w:history="1">
        <w:r w:rsidRPr="00B90073">
          <w:rPr>
            <w:rStyle w:val="Hyperlink"/>
            <w:rFonts w:ascii="Gill Sans MT" w:hAnsi="Gill Sans MT"/>
            <w:sz w:val="24"/>
            <w:szCs w:val="24"/>
          </w:rPr>
          <w:t>Access Impact:  Summary of Priority Areas of Need</w:t>
        </w:r>
      </w:hyperlink>
    </w:p>
    <w:p w14:paraId="64F46086" w14:textId="7829243D" w:rsidR="00B64674" w:rsidRPr="00BE798C" w:rsidRDefault="00B64674" w:rsidP="00391FA8">
      <w:pPr>
        <w:spacing w:after="240" w:line="240" w:lineRule="auto"/>
        <w:ind w:left="-426"/>
        <w:rPr>
          <w:rFonts w:ascii="Gill Sans MT" w:hAnsi="Gill Sans MT"/>
          <w:b/>
          <w:sz w:val="24"/>
          <w:szCs w:val="24"/>
        </w:rPr>
      </w:pPr>
      <w:r w:rsidRPr="00BE798C">
        <w:rPr>
          <w:rFonts w:ascii="Gill Sans MT" w:hAnsi="Gill Sans MT"/>
          <w:b/>
          <w:sz w:val="24"/>
          <w:szCs w:val="24"/>
        </w:rPr>
        <w:t xml:space="preserve">What is the key barrier </w:t>
      </w:r>
      <w:r w:rsidR="006E0EF9">
        <w:rPr>
          <w:rFonts w:ascii="Gill Sans MT" w:hAnsi="Gill Sans MT"/>
          <w:b/>
          <w:sz w:val="24"/>
          <w:szCs w:val="24"/>
        </w:rPr>
        <w:t>to</w:t>
      </w:r>
      <w:r w:rsidRPr="00BE798C">
        <w:rPr>
          <w:rFonts w:ascii="Gill Sans MT" w:hAnsi="Gill Sans MT"/>
          <w:b/>
          <w:sz w:val="24"/>
          <w:szCs w:val="24"/>
        </w:rPr>
        <w:t xml:space="preserve"> access to learning for this pupil?</w:t>
      </w:r>
    </w:p>
    <w:p w14:paraId="0E27F02A" w14:textId="77777777" w:rsidR="00B64674" w:rsidRPr="00BE798C" w:rsidRDefault="00B64674" w:rsidP="00391FA8">
      <w:pPr>
        <w:pStyle w:val="Heading1"/>
        <w:spacing w:after="240"/>
        <w:ind w:left="-426"/>
        <w:jc w:val="left"/>
        <w:rPr>
          <w:rFonts w:ascii="Gill Sans MT" w:hAnsi="Gill Sans MT"/>
          <w:sz w:val="24"/>
          <w:szCs w:val="24"/>
        </w:rPr>
      </w:pPr>
      <w:r w:rsidRPr="00BE798C">
        <w:rPr>
          <w:rFonts w:ascii="Gill Sans MT" w:hAnsi="Gill Sans MT"/>
          <w:sz w:val="24"/>
          <w:szCs w:val="24"/>
        </w:rPr>
        <w:lastRenderedPageBreak/>
        <w:t>Record Assessments</w:t>
      </w:r>
    </w:p>
    <w:p w14:paraId="6E489D34" w14:textId="4D749B01" w:rsidR="00B64674" w:rsidRPr="00BE798C" w:rsidRDefault="00B64674" w:rsidP="00391FA8">
      <w:pPr>
        <w:spacing w:after="240" w:line="240" w:lineRule="auto"/>
        <w:ind w:left="-426"/>
        <w:rPr>
          <w:rFonts w:ascii="Gill Sans MT" w:hAnsi="Gill Sans MT"/>
          <w:szCs w:val="20"/>
        </w:rPr>
      </w:pPr>
      <w:r w:rsidRPr="00BE798C">
        <w:rPr>
          <w:rFonts w:ascii="Gill Sans MT" w:hAnsi="Gill Sans MT"/>
          <w:sz w:val="24"/>
          <w:szCs w:val="20"/>
        </w:rPr>
        <w:t>Use this space to record or link to relevant assessments/reports</w:t>
      </w:r>
      <w:r w:rsidR="00BE798C">
        <w:rPr>
          <w:rFonts w:ascii="Gill Sans MT" w:hAnsi="Gill Sans MT"/>
          <w:sz w:val="24"/>
          <w:szCs w:val="20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5"/>
        <w:gridCol w:w="1152"/>
        <w:gridCol w:w="1789"/>
        <w:gridCol w:w="1437"/>
        <w:gridCol w:w="1524"/>
      </w:tblGrid>
      <w:tr w:rsidR="00B64674" w:rsidRPr="00BE798C" w14:paraId="5E252908" w14:textId="77777777" w:rsidTr="00F367A5">
        <w:tc>
          <w:tcPr>
            <w:tcW w:w="8297" w:type="dxa"/>
            <w:gridSpan w:val="5"/>
          </w:tcPr>
          <w:p w14:paraId="72C3D73D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Relevant Assessments/Reports</w:t>
            </w:r>
          </w:p>
        </w:tc>
      </w:tr>
      <w:tr w:rsidR="00B64674" w:rsidRPr="00BE798C" w14:paraId="18CAA6F8" w14:textId="77777777" w:rsidTr="00F367A5">
        <w:trPr>
          <w:trHeight w:val="911"/>
        </w:trPr>
        <w:tc>
          <w:tcPr>
            <w:tcW w:w="2395" w:type="dxa"/>
            <w:shd w:val="clear" w:color="auto" w:fill="FBD4B4" w:themeFill="accent6" w:themeFillTint="66"/>
          </w:tcPr>
          <w:p w14:paraId="52A40B12" w14:textId="77777777" w:rsidR="00B64674" w:rsidRPr="00BE798C" w:rsidRDefault="00B64674" w:rsidP="00BE798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Assessment/Report</w:t>
            </w:r>
          </w:p>
        </w:tc>
        <w:tc>
          <w:tcPr>
            <w:tcW w:w="1152" w:type="dxa"/>
            <w:shd w:val="clear" w:color="auto" w:fill="FBD4B4" w:themeFill="accent6" w:themeFillTint="66"/>
          </w:tcPr>
          <w:p w14:paraId="7A499258" w14:textId="77777777" w:rsidR="00B64674" w:rsidRPr="00BE798C" w:rsidRDefault="00B64674" w:rsidP="00BE798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1789" w:type="dxa"/>
            <w:shd w:val="clear" w:color="auto" w:fill="FBD4B4" w:themeFill="accent6" w:themeFillTint="66"/>
          </w:tcPr>
          <w:p w14:paraId="73802DE1" w14:textId="77777777" w:rsidR="00B64674" w:rsidRPr="00BE798C" w:rsidRDefault="00B64674" w:rsidP="00BE798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Chronological Age</w:t>
            </w:r>
          </w:p>
        </w:tc>
        <w:tc>
          <w:tcPr>
            <w:tcW w:w="1437" w:type="dxa"/>
            <w:shd w:val="clear" w:color="auto" w:fill="FBD4B4" w:themeFill="accent6" w:themeFillTint="66"/>
          </w:tcPr>
          <w:p w14:paraId="176D10F2" w14:textId="77777777" w:rsidR="00B64674" w:rsidRPr="00BE798C" w:rsidRDefault="00B64674" w:rsidP="00BE798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Standard Score</w:t>
            </w:r>
          </w:p>
        </w:tc>
        <w:tc>
          <w:tcPr>
            <w:tcW w:w="1524" w:type="dxa"/>
            <w:shd w:val="clear" w:color="auto" w:fill="FBD4B4" w:themeFill="accent6" w:themeFillTint="66"/>
          </w:tcPr>
          <w:p w14:paraId="4E2FBF4C" w14:textId="77777777" w:rsidR="00B64674" w:rsidRPr="00BE798C" w:rsidRDefault="00B64674" w:rsidP="00BE798C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BE798C">
              <w:rPr>
                <w:rFonts w:ascii="Gill Sans MT" w:hAnsi="Gill Sans MT"/>
                <w:b/>
                <w:sz w:val="24"/>
                <w:szCs w:val="24"/>
              </w:rPr>
              <w:t>Age Equivalent Score</w:t>
            </w:r>
          </w:p>
        </w:tc>
      </w:tr>
      <w:tr w:rsidR="00B64674" w:rsidRPr="00BE798C" w14:paraId="10E69827" w14:textId="77777777" w:rsidTr="00F367A5">
        <w:trPr>
          <w:trHeight w:val="1538"/>
        </w:trPr>
        <w:tc>
          <w:tcPr>
            <w:tcW w:w="2395" w:type="dxa"/>
          </w:tcPr>
          <w:p w14:paraId="31744233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541C6AA7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152" w:type="dxa"/>
          </w:tcPr>
          <w:p w14:paraId="6134777C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789" w:type="dxa"/>
          </w:tcPr>
          <w:p w14:paraId="34D8C2B0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437" w:type="dxa"/>
          </w:tcPr>
          <w:p w14:paraId="7AB1B054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524" w:type="dxa"/>
          </w:tcPr>
          <w:p w14:paraId="0DC670EB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</w:tr>
      <w:tr w:rsidR="00B64674" w:rsidRPr="00BE798C" w14:paraId="1985F0D3" w14:textId="77777777" w:rsidTr="00F367A5">
        <w:tc>
          <w:tcPr>
            <w:tcW w:w="2395" w:type="dxa"/>
          </w:tcPr>
          <w:p w14:paraId="7967CD28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1E367231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29C7829E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152" w:type="dxa"/>
          </w:tcPr>
          <w:p w14:paraId="65EA9F71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789" w:type="dxa"/>
          </w:tcPr>
          <w:p w14:paraId="74F3AD28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437" w:type="dxa"/>
          </w:tcPr>
          <w:p w14:paraId="4346C214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524" w:type="dxa"/>
          </w:tcPr>
          <w:p w14:paraId="0C905E7F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</w:tr>
      <w:tr w:rsidR="00B64674" w:rsidRPr="00BE798C" w14:paraId="35D9591F" w14:textId="77777777" w:rsidTr="00F367A5">
        <w:tc>
          <w:tcPr>
            <w:tcW w:w="2395" w:type="dxa"/>
          </w:tcPr>
          <w:p w14:paraId="42749B74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0E7C91F4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5BF7E4D4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152" w:type="dxa"/>
          </w:tcPr>
          <w:p w14:paraId="501272C7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789" w:type="dxa"/>
          </w:tcPr>
          <w:p w14:paraId="6ECA2D5B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437" w:type="dxa"/>
          </w:tcPr>
          <w:p w14:paraId="5D3AFFEE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524" w:type="dxa"/>
          </w:tcPr>
          <w:p w14:paraId="3B7941AD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</w:tr>
      <w:tr w:rsidR="00B64674" w:rsidRPr="00BE798C" w14:paraId="44E4649E" w14:textId="77777777" w:rsidTr="00F367A5">
        <w:tc>
          <w:tcPr>
            <w:tcW w:w="2395" w:type="dxa"/>
          </w:tcPr>
          <w:p w14:paraId="6E3CDAD7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2FA46F7B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52558172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152" w:type="dxa"/>
          </w:tcPr>
          <w:p w14:paraId="3553E25C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789" w:type="dxa"/>
          </w:tcPr>
          <w:p w14:paraId="6E1FA522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437" w:type="dxa"/>
          </w:tcPr>
          <w:p w14:paraId="4F0EEEA7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524" w:type="dxa"/>
          </w:tcPr>
          <w:p w14:paraId="0AE66CB0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</w:tr>
      <w:tr w:rsidR="00B64674" w:rsidRPr="00BE798C" w14:paraId="1E809057" w14:textId="77777777" w:rsidTr="00F367A5">
        <w:tc>
          <w:tcPr>
            <w:tcW w:w="2395" w:type="dxa"/>
          </w:tcPr>
          <w:p w14:paraId="08F4E296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  <w:p w14:paraId="35A53829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152" w:type="dxa"/>
          </w:tcPr>
          <w:p w14:paraId="1E68420E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789" w:type="dxa"/>
          </w:tcPr>
          <w:p w14:paraId="20BADFAA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437" w:type="dxa"/>
          </w:tcPr>
          <w:p w14:paraId="3C2348A9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  <w:tc>
          <w:tcPr>
            <w:tcW w:w="1524" w:type="dxa"/>
          </w:tcPr>
          <w:p w14:paraId="30A7554F" w14:textId="77777777" w:rsidR="00B64674" w:rsidRPr="00BE798C" w:rsidRDefault="00B64674" w:rsidP="00BE798C">
            <w:pPr>
              <w:spacing w:after="240"/>
              <w:rPr>
                <w:rFonts w:ascii="Gill Sans MT" w:hAnsi="Gill Sans MT"/>
                <w:szCs w:val="20"/>
              </w:rPr>
            </w:pPr>
          </w:p>
        </w:tc>
      </w:tr>
    </w:tbl>
    <w:p w14:paraId="4A4083AC" w14:textId="5B9D1B0A" w:rsidR="00BE798C" w:rsidRDefault="00BE798C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76E16AD" w14:textId="03ED8629" w:rsidR="00BE798C" w:rsidRPr="00BE798C" w:rsidRDefault="00BE798C" w:rsidP="00391FA8">
      <w:pPr>
        <w:spacing w:after="240" w:line="240" w:lineRule="auto"/>
        <w:ind w:left="-426"/>
        <w:rPr>
          <w:rFonts w:ascii="Gill Sans MT" w:hAnsi="Gill Sans MT"/>
          <w:b/>
          <w:sz w:val="24"/>
          <w:szCs w:val="24"/>
        </w:rPr>
      </w:pPr>
      <w:r w:rsidRPr="00BE798C">
        <w:rPr>
          <w:rFonts w:ascii="Gill Sans MT" w:hAnsi="Gill Sans MT"/>
          <w:b/>
          <w:sz w:val="24"/>
          <w:szCs w:val="24"/>
        </w:rPr>
        <w:t>Decide</w:t>
      </w:r>
    </w:p>
    <w:p w14:paraId="4568BC5F" w14:textId="03A96996" w:rsidR="00BE798C" w:rsidRPr="00BE798C" w:rsidRDefault="00BE798C" w:rsidP="00391FA8">
      <w:pPr>
        <w:spacing w:after="240" w:line="240" w:lineRule="auto"/>
        <w:ind w:left="-426"/>
        <w:rPr>
          <w:rFonts w:ascii="Gill Sans MT" w:hAnsi="Gill Sans MT"/>
          <w:sz w:val="24"/>
          <w:szCs w:val="24"/>
        </w:rPr>
      </w:pPr>
      <w:r w:rsidRPr="00BE798C">
        <w:rPr>
          <w:rFonts w:ascii="Gill Sans MT" w:hAnsi="Gill Sans MT"/>
          <w:sz w:val="24"/>
          <w:szCs w:val="24"/>
        </w:rPr>
        <w:t xml:space="preserve">Do assessments show that the </w:t>
      </w:r>
      <w:r w:rsidR="00391FA8">
        <w:rPr>
          <w:rFonts w:ascii="Gill Sans MT" w:hAnsi="Gill Sans MT"/>
          <w:sz w:val="24"/>
          <w:szCs w:val="24"/>
        </w:rPr>
        <w:t>pupil</w:t>
      </w:r>
      <w:r w:rsidRPr="00BE798C">
        <w:rPr>
          <w:rFonts w:ascii="Gill Sans MT" w:hAnsi="Gill Sans MT"/>
          <w:sz w:val="24"/>
          <w:szCs w:val="24"/>
        </w:rPr>
        <w:t xml:space="preserve"> has a </w:t>
      </w:r>
      <w:r w:rsidRPr="00BE798C">
        <w:rPr>
          <w:rFonts w:ascii="Gill Sans MT" w:hAnsi="Gill Sans MT"/>
          <w:b/>
          <w:sz w:val="24"/>
          <w:szCs w:val="24"/>
        </w:rPr>
        <w:t>special educational need</w:t>
      </w:r>
      <w:r w:rsidRPr="00BE798C">
        <w:rPr>
          <w:rFonts w:ascii="Gill Sans MT" w:hAnsi="Gill Sans MT"/>
          <w:sz w:val="24"/>
          <w:szCs w:val="24"/>
        </w:rPr>
        <w:t xml:space="preserve"> or </w:t>
      </w:r>
      <w:r w:rsidRPr="00BE798C">
        <w:rPr>
          <w:rFonts w:ascii="Gill Sans MT" w:hAnsi="Gill Sans MT"/>
          <w:b/>
          <w:sz w:val="24"/>
          <w:szCs w:val="24"/>
        </w:rPr>
        <w:t>disability</w:t>
      </w:r>
      <w:r w:rsidRPr="00BE798C">
        <w:rPr>
          <w:rFonts w:ascii="Gill Sans MT" w:hAnsi="Gill Sans MT"/>
          <w:sz w:val="24"/>
          <w:szCs w:val="24"/>
        </w:rPr>
        <w:t>?</w:t>
      </w:r>
    </w:p>
    <w:p w14:paraId="5E0F53F7" w14:textId="77777777" w:rsidR="00BE798C" w:rsidRPr="00BE798C" w:rsidRDefault="00BE798C" w:rsidP="00391FA8">
      <w:pPr>
        <w:spacing w:after="240" w:line="240" w:lineRule="auto"/>
        <w:ind w:left="-426"/>
        <w:rPr>
          <w:rFonts w:ascii="Gill Sans MT" w:hAnsi="Gill Sans MT"/>
          <w:sz w:val="24"/>
          <w:szCs w:val="24"/>
        </w:rPr>
      </w:pPr>
      <w:r w:rsidRPr="00BE798C">
        <w:rPr>
          <w:rFonts w:ascii="Gill Sans MT" w:hAnsi="Gill Sans MT"/>
          <w:sz w:val="24"/>
          <w:szCs w:val="24"/>
        </w:rPr>
        <w:t xml:space="preserve">If </w:t>
      </w:r>
      <w:r w:rsidRPr="00BE798C">
        <w:rPr>
          <w:rFonts w:ascii="Gill Sans MT" w:hAnsi="Gill Sans MT"/>
          <w:b/>
          <w:sz w:val="24"/>
          <w:szCs w:val="24"/>
        </w:rPr>
        <w:t>Yes</w:t>
      </w:r>
      <w:r w:rsidRPr="00BE798C">
        <w:rPr>
          <w:rFonts w:ascii="Gill Sans MT" w:hAnsi="Gill Sans MT"/>
          <w:sz w:val="24"/>
          <w:szCs w:val="24"/>
        </w:rPr>
        <w:t xml:space="preserve"> – Proceed to </w:t>
      </w:r>
      <w:r w:rsidRPr="00BE798C">
        <w:rPr>
          <w:rFonts w:ascii="Gill Sans MT" w:hAnsi="Gill Sans MT"/>
          <w:b/>
          <w:sz w:val="24"/>
          <w:szCs w:val="24"/>
        </w:rPr>
        <w:t>Plan</w:t>
      </w:r>
      <w:r w:rsidRPr="00BE798C">
        <w:rPr>
          <w:rFonts w:ascii="Gill Sans MT" w:hAnsi="Gill Sans MT"/>
          <w:sz w:val="24"/>
          <w:szCs w:val="24"/>
        </w:rPr>
        <w:t xml:space="preserve"> or select another </w:t>
      </w:r>
      <w:r w:rsidRPr="00BE798C">
        <w:rPr>
          <w:rFonts w:ascii="Gill Sans MT" w:hAnsi="Gill Sans MT"/>
          <w:b/>
          <w:sz w:val="24"/>
          <w:szCs w:val="24"/>
        </w:rPr>
        <w:t>area of need</w:t>
      </w:r>
      <w:r w:rsidRPr="00BE798C">
        <w:rPr>
          <w:rFonts w:ascii="Gill Sans MT" w:hAnsi="Gill Sans MT"/>
          <w:sz w:val="24"/>
          <w:szCs w:val="24"/>
        </w:rPr>
        <w:t xml:space="preserve"> to assess further needs. </w:t>
      </w:r>
    </w:p>
    <w:p w14:paraId="0D150133" w14:textId="77777777" w:rsidR="00BE798C" w:rsidRPr="00391FA8" w:rsidRDefault="00000000" w:rsidP="00391FA8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Communication" w:history="1">
        <w:r w:rsidR="00BE798C" w:rsidRPr="00391FA8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Communication &amp; Interaction</w:t>
        </w:r>
      </w:hyperlink>
    </w:p>
    <w:p w14:paraId="79DBCC87" w14:textId="77777777" w:rsidR="00BE798C" w:rsidRPr="00391FA8" w:rsidRDefault="00000000" w:rsidP="00391FA8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Cognition" w:history="1">
        <w:r w:rsidR="00BE798C" w:rsidRPr="00391FA8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Cognition &amp; Learning</w:t>
        </w:r>
      </w:hyperlink>
    </w:p>
    <w:p w14:paraId="0042506E" w14:textId="77777777" w:rsidR="00BE798C" w:rsidRPr="00391FA8" w:rsidRDefault="00000000" w:rsidP="00391FA8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Assess:_Social,_Emotional" w:history="1">
        <w:r w:rsidR="00BE798C" w:rsidRPr="00391FA8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Social, Emotional and Mental Health</w:t>
        </w:r>
      </w:hyperlink>
    </w:p>
    <w:p w14:paraId="3AE24049" w14:textId="08BAB684" w:rsidR="00BB10F4" w:rsidRPr="00F367A5" w:rsidRDefault="00000000" w:rsidP="00BE798C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Sensory" w:history="1">
        <w:r w:rsidR="00BE798C" w:rsidRPr="00391FA8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Sensory &amp; Physical</w:t>
        </w:r>
      </w:hyperlink>
    </w:p>
    <w:sectPr w:rsidR="00BB10F4" w:rsidRPr="00F367A5" w:rsidSect="009C770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2921" w14:textId="77777777" w:rsidR="00A830A6" w:rsidRDefault="00A830A6" w:rsidP="00B64674">
      <w:pPr>
        <w:spacing w:after="0" w:line="240" w:lineRule="auto"/>
      </w:pPr>
      <w:r>
        <w:separator/>
      </w:r>
    </w:p>
  </w:endnote>
  <w:endnote w:type="continuationSeparator" w:id="0">
    <w:p w14:paraId="67BD1BF4" w14:textId="77777777" w:rsidR="00A830A6" w:rsidRDefault="00A830A6" w:rsidP="00B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598E" w14:textId="77777777" w:rsidR="00A830A6" w:rsidRDefault="00A830A6" w:rsidP="00B64674">
      <w:pPr>
        <w:spacing w:after="0" w:line="240" w:lineRule="auto"/>
      </w:pPr>
      <w:r>
        <w:separator/>
      </w:r>
    </w:p>
  </w:footnote>
  <w:footnote w:type="continuationSeparator" w:id="0">
    <w:p w14:paraId="14344AA6" w14:textId="77777777" w:rsidR="00A830A6" w:rsidRDefault="00A830A6" w:rsidP="00B6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F48"/>
    <w:multiLevelType w:val="hybridMultilevel"/>
    <w:tmpl w:val="E90AD908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3C7AAD"/>
    <w:multiLevelType w:val="hybridMultilevel"/>
    <w:tmpl w:val="BA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20475">
    <w:abstractNumId w:val="1"/>
  </w:num>
  <w:num w:numId="2" w16cid:durableId="57810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TUyNDMxM7AwtDRT0lEKTi0uzszPAykwqgUA4ndCsCwAAAA="/>
  </w:docVars>
  <w:rsids>
    <w:rsidRoot w:val="00B64674"/>
    <w:rsid w:val="000B3A73"/>
    <w:rsid w:val="000C03E3"/>
    <w:rsid w:val="00222EDB"/>
    <w:rsid w:val="002939FE"/>
    <w:rsid w:val="002A71BB"/>
    <w:rsid w:val="00377E38"/>
    <w:rsid w:val="00391FA8"/>
    <w:rsid w:val="004F7C58"/>
    <w:rsid w:val="005754AE"/>
    <w:rsid w:val="005B4806"/>
    <w:rsid w:val="005C4FB3"/>
    <w:rsid w:val="006E0EF9"/>
    <w:rsid w:val="007012C5"/>
    <w:rsid w:val="007A1F1D"/>
    <w:rsid w:val="00856345"/>
    <w:rsid w:val="009269FD"/>
    <w:rsid w:val="009C7709"/>
    <w:rsid w:val="00A830A6"/>
    <w:rsid w:val="00B64674"/>
    <w:rsid w:val="00B64A54"/>
    <w:rsid w:val="00B90073"/>
    <w:rsid w:val="00BB10F4"/>
    <w:rsid w:val="00BE798C"/>
    <w:rsid w:val="00C86B82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C44AB"/>
  <w15:chartTrackingRefBased/>
  <w15:docId w15:val="{0ED4CD1B-AEC6-46F9-A767-3DA6537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674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674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74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4674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64674"/>
    <w:pPr>
      <w:ind w:left="720"/>
      <w:contextualSpacing/>
    </w:pPr>
  </w:style>
  <w:style w:type="table" w:styleId="TableGrid">
    <w:name w:val="Table Grid"/>
    <w:basedOn w:val="TableNormal"/>
    <w:uiPriority w:val="59"/>
    <w:rsid w:val="00B64674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64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674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B64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4674"/>
    <w:rPr>
      <w:rFonts w:ascii="Arial" w:eastAsiaTheme="minorHAnsi" w:hAnsi="Arial" w:cstheme="minorBid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8</cp:revision>
  <dcterms:created xsi:type="dcterms:W3CDTF">2022-07-08T11:34:00Z</dcterms:created>
  <dcterms:modified xsi:type="dcterms:W3CDTF">2022-11-21T12:18:00Z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2022-05-12T09:03:45Z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83975c2a-4ea7-4858-91f8-00004508fc71</vt:lpwstr>
  </property>
  <property fmtid="{D5CDD505-2E9C-101B-9397-08002B2CF9AE}" pid="8" name="MSIP_Label_d57318c2-6b86-43df-b189-c92fcad1cee5_ContentBits">
    <vt:lpwstr>1</vt:lpwstr>
  </property>
</Properties>
</file>